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34"/>
        <w:gridCol w:w="1102"/>
        <w:gridCol w:w="3260"/>
        <w:gridCol w:w="2268"/>
        <w:gridCol w:w="2693"/>
        <w:gridCol w:w="2017"/>
      </w:tblGrid>
      <w:tr w:rsidR="002E4C82" w:rsidTr="002E4C82">
        <w:tc>
          <w:tcPr>
            <w:tcW w:w="14174" w:type="dxa"/>
            <w:gridSpan w:val="6"/>
          </w:tcPr>
          <w:p w:rsidR="002E4C82" w:rsidRPr="002756E8" w:rsidRDefault="002E4C82">
            <w:pPr>
              <w:rPr>
                <w:sz w:val="20"/>
                <w:szCs w:val="20"/>
              </w:rPr>
            </w:pPr>
            <w:r w:rsidRPr="002756E8">
              <w:rPr>
                <w:sz w:val="20"/>
                <w:szCs w:val="20"/>
              </w:rPr>
              <w:t xml:space="preserve">   </w:t>
            </w:r>
          </w:p>
          <w:p w:rsidR="002E4C82" w:rsidRPr="002756E8" w:rsidRDefault="002E4C82" w:rsidP="002E4C82">
            <w:pPr>
              <w:jc w:val="center"/>
              <w:rPr>
                <w:b/>
                <w:sz w:val="20"/>
                <w:szCs w:val="20"/>
              </w:rPr>
            </w:pPr>
            <w:r w:rsidRPr="002756E8">
              <w:rPr>
                <w:b/>
                <w:sz w:val="20"/>
                <w:szCs w:val="20"/>
              </w:rPr>
              <w:t xml:space="preserve">SCHOOL IMPROVEMENT PLAN </w:t>
            </w:r>
            <w:r w:rsidR="004342F6">
              <w:rPr>
                <w:b/>
                <w:sz w:val="20"/>
                <w:szCs w:val="20"/>
              </w:rPr>
              <w:t xml:space="preserve">FOR LITERACY </w:t>
            </w:r>
            <w:r w:rsidRPr="002756E8">
              <w:rPr>
                <w:b/>
                <w:sz w:val="20"/>
                <w:szCs w:val="20"/>
              </w:rPr>
              <w:t>– MEAN SCOIL NUA AN LEITH TRIUIGH</w:t>
            </w:r>
          </w:p>
          <w:p w:rsidR="002E4C82" w:rsidRPr="002756E8" w:rsidRDefault="002E4C82">
            <w:pPr>
              <w:rPr>
                <w:sz w:val="20"/>
                <w:szCs w:val="20"/>
              </w:rPr>
            </w:pPr>
          </w:p>
        </w:tc>
      </w:tr>
      <w:tr w:rsidR="002E4C82" w:rsidTr="002E4C82">
        <w:tc>
          <w:tcPr>
            <w:tcW w:w="14174" w:type="dxa"/>
            <w:gridSpan w:val="6"/>
          </w:tcPr>
          <w:p w:rsidR="002E4C82" w:rsidRPr="002756E8" w:rsidRDefault="002E4C82">
            <w:pPr>
              <w:rPr>
                <w:sz w:val="20"/>
                <w:szCs w:val="20"/>
              </w:rPr>
            </w:pPr>
          </w:p>
          <w:p w:rsidR="002E4C82" w:rsidRPr="002756E8" w:rsidRDefault="002E4C82">
            <w:pPr>
              <w:rPr>
                <w:sz w:val="20"/>
                <w:szCs w:val="20"/>
              </w:rPr>
            </w:pPr>
            <w:r w:rsidRPr="002756E8">
              <w:rPr>
                <w:sz w:val="20"/>
                <w:szCs w:val="20"/>
              </w:rPr>
              <w:t xml:space="preserve">All First Year students completed the </w:t>
            </w:r>
            <w:proofErr w:type="spellStart"/>
            <w:r w:rsidRPr="002756E8">
              <w:rPr>
                <w:sz w:val="20"/>
                <w:szCs w:val="20"/>
              </w:rPr>
              <w:t>Drumcondra</w:t>
            </w:r>
            <w:proofErr w:type="spellEnd"/>
            <w:r w:rsidRPr="002756E8">
              <w:rPr>
                <w:sz w:val="20"/>
                <w:szCs w:val="20"/>
              </w:rPr>
              <w:t xml:space="preserve"> Reasoning Test during term 1 2012/13. The verbal reasoning results were as follows:</w:t>
            </w:r>
          </w:p>
          <w:tbl>
            <w:tblPr>
              <w:tblStyle w:val="TableGrid"/>
              <w:tblW w:w="0" w:type="auto"/>
              <w:tblInd w:w="1413" w:type="dxa"/>
              <w:tblLook w:val="04A0" w:firstRow="1" w:lastRow="0" w:firstColumn="1" w:lastColumn="0" w:noHBand="0" w:noVBand="1"/>
            </w:tblPr>
            <w:tblGrid>
              <w:gridCol w:w="2977"/>
              <w:gridCol w:w="7796"/>
            </w:tblGrid>
            <w:tr w:rsidR="002E4C82" w:rsidRPr="002756E8" w:rsidTr="00F66006">
              <w:tc>
                <w:tcPr>
                  <w:tcW w:w="2977" w:type="dxa"/>
                </w:tcPr>
                <w:p w:rsidR="002E4C82" w:rsidRPr="002756E8" w:rsidRDefault="002E4C82">
                  <w:pPr>
                    <w:rPr>
                      <w:sz w:val="20"/>
                      <w:szCs w:val="20"/>
                    </w:rPr>
                  </w:pPr>
                  <w:r w:rsidRPr="002756E8">
                    <w:rPr>
                      <w:sz w:val="20"/>
                      <w:szCs w:val="20"/>
                    </w:rPr>
                    <w:t>Below Average (below 25)</w:t>
                  </w:r>
                </w:p>
              </w:tc>
              <w:tc>
                <w:tcPr>
                  <w:tcW w:w="7796" w:type="dxa"/>
                </w:tcPr>
                <w:p w:rsidR="002E4C82" w:rsidRPr="002756E8" w:rsidRDefault="002E4C82" w:rsidP="00597543">
                  <w:pPr>
                    <w:rPr>
                      <w:sz w:val="20"/>
                      <w:szCs w:val="20"/>
                    </w:rPr>
                  </w:pPr>
                  <w:r w:rsidRPr="002756E8">
                    <w:rPr>
                      <w:sz w:val="20"/>
                      <w:szCs w:val="20"/>
                    </w:rPr>
                    <w:t xml:space="preserve">6 </w:t>
                  </w:r>
                  <w:r w:rsidR="00597543">
                    <w:rPr>
                      <w:sz w:val="20"/>
                      <w:szCs w:val="20"/>
                    </w:rPr>
                    <w:t>students</w:t>
                  </w:r>
                </w:p>
              </w:tc>
            </w:tr>
            <w:tr w:rsidR="002E4C82" w:rsidRPr="002756E8" w:rsidTr="00F66006">
              <w:tc>
                <w:tcPr>
                  <w:tcW w:w="2977" w:type="dxa"/>
                </w:tcPr>
                <w:p w:rsidR="002E4C82" w:rsidRPr="002756E8" w:rsidRDefault="002E4C82">
                  <w:pPr>
                    <w:rPr>
                      <w:sz w:val="20"/>
                      <w:szCs w:val="20"/>
                    </w:rPr>
                  </w:pPr>
                  <w:r w:rsidRPr="002756E8">
                    <w:rPr>
                      <w:sz w:val="20"/>
                      <w:szCs w:val="20"/>
                    </w:rPr>
                    <w:t>Average (25-75)</w:t>
                  </w:r>
                </w:p>
              </w:tc>
              <w:tc>
                <w:tcPr>
                  <w:tcW w:w="7796" w:type="dxa"/>
                </w:tcPr>
                <w:p w:rsidR="002E4C82" w:rsidRPr="002756E8" w:rsidRDefault="002E4C82">
                  <w:pPr>
                    <w:rPr>
                      <w:sz w:val="20"/>
                      <w:szCs w:val="20"/>
                    </w:rPr>
                  </w:pPr>
                  <w:r w:rsidRPr="002756E8">
                    <w:rPr>
                      <w:sz w:val="20"/>
                      <w:szCs w:val="20"/>
                    </w:rPr>
                    <w:t>16 students</w:t>
                  </w:r>
                </w:p>
              </w:tc>
            </w:tr>
            <w:tr w:rsidR="002E4C82" w:rsidRPr="002756E8" w:rsidTr="00F66006">
              <w:tc>
                <w:tcPr>
                  <w:tcW w:w="2977" w:type="dxa"/>
                </w:tcPr>
                <w:p w:rsidR="002E4C82" w:rsidRPr="002756E8" w:rsidRDefault="00F66006">
                  <w:pPr>
                    <w:rPr>
                      <w:sz w:val="20"/>
                      <w:szCs w:val="20"/>
                    </w:rPr>
                  </w:pPr>
                  <w:r w:rsidRPr="002756E8">
                    <w:rPr>
                      <w:sz w:val="20"/>
                      <w:szCs w:val="20"/>
                    </w:rPr>
                    <w:t>High Average (75-91)</w:t>
                  </w:r>
                </w:p>
              </w:tc>
              <w:tc>
                <w:tcPr>
                  <w:tcW w:w="7796" w:type="dxa"/>
                </w:tcPr>
                <w:p w:rsidR="002E4C82" w:rsidRPr="002756E8" w:rsidRDefault="00F66006" w:rsidP="00597543">
                  <w:pPr>
                    <w:rPr>
                      <w:sz w:val="20"/>
                      <w:szCs w:val="20"/>
                    </w:rPr>
                  </w:pPr>
                  <w:r w:rsidRPr="002756E8">
                    <w:rPr>
                      <w:sz w:val="20"/>
                      <w:szCs w:val="20"/>
                    </w:rPr>
                    <w:t xml:space="preserve">6 </w:t>
                  </w:r>
                  <w:r w:rsidR="00597543">
                    <w:rPr>
                      <w:sz w:val="20"/>
                      <w:szCs w:val="20"/>
                    </w:rPr>
                    <w:t>students</w:t>
                  </w:r>
                </w:p>
              </w:tc>
            </w:tr>
            <w:tr w:rsidR="002E4C82" w:rsidRPr="002756E8" w:rsidTr="00F66006">
              <w:tc>
                <w:tcPr>
                  <w:tcW w:w="2977" w:type="dxa"/>
                </w:tcPr>
                <w:p w:rsidR="002E4C82" w:rsidRPr="002756E8" w:rsidRDefault="00F66006">
                  <w:pPr>
                    <w:rPr>
                      <w:sz w:val="20"/>
                      <w:szCs w:val="20"/>
                    </w:rPr>
                  </w:pPr>
                  <w:r w:rsidRPr="002756E8">
                    <w:rPr>
                      <w:sz w:val="20"/>
                      <w:szCs w:val="20"/>
                    </w:rPr>
                    <w:t>Superior (92-100)</w:t>
                  </w:r>
                </w:p>
              </w:tc>
              <w:tc>
                <w:tcPr>
                  <w:tcW w:w="7796" w:type="dxa"/>
                </w:tcPr>
                <w:p w:rsidR="002E4C82" w:rsidRPr="002756E8" w:rsidRDefault="00F66006" w:rsidP="00597543">
                  <w:pPr>
                    <w:rPr>
                      <w:sz w:val="20"/>
                      <w:szCs w:val="20"/>
                    </w:rPr>
                  </w:pPr>
                  <w:r w:rsidRPr="002756E8">
                    <w:rPr>
                      <w:sz w:val="20"/>
                      <w:szCs w:val="20"/>
                    </w:rPr>
                    <w:t xml:space="preserve">2 </w:t>
                  </w:r>
                  <w:r w:rsidR="00597543">
                    <w:rPr>
                      <w:sz w:val="20"/>
                      <w:szCs w:val="20"/>
                    </w:rPr>
                    <w:t>students</w:t>
                  </w:r>
                </w:p>
              </w:tc>
            </w:tr>
          </w:tbl>
          <w:p w:rsidR="002E4C82" w:rsidRPr="002756E8" w:rsidRDefault="002E4C82">
            <w:pPr>
              <w:rPr>
                <w:sz w:val="20"/>
                <w:szCs w:val="20"/>
              </w:rPr>
            </w:pPr>
          </w:p>
          <w:p w:rsidR="00F66006" w:rsidRPr="002756E8" w:rsidRDefault="00F66006">
            <w:pPr>
              <w:rPr>
                <w:sz w:val="20"/>
                <w:szCs w:val="20"/>
              </w:rPr>
            </w:pPr>
            <w:r w:rsidRPr="002756E8">
              <w:rPr>
                <w:sz w:val="20"/>
                <w:szCs w:val="20"/>
              </w:rPr>
              <w:t xml:space="preserve">The </w:t>
            </w:r>
            <w:proofErr w:type="spellStart"/>
            <w:r w:rsidRPr="002756E8">
              <w:rPr>
                <w:sz w:val="20"/>
                <w:szCs w:val="20"/>
              </w:rPr>
              <w:t>Gaeilge</w:t>
            </w:r>
            <w:proofErr w:type="spellEnd"/>
            <w:r w:rsidRPr="002756E8">
              <w:rPr>
                <w:sz w:val="20"/>
                <w:szCs w:val="20"/>
              </w:rPr>
              <w:t xml:space="preserve">, English and History departments used ‘The Literacy Checklist’ to analyse the First Years literacy skills from a continuous piece of written work under the categories displayed below. The average percentage from the 3 subjects  are as follows:              </w:t>
            </w:r>
          </w:p>
          <w:tbl>
            <w:tblPr>
              <w:tblStyle w:val="TableGrid"/>
              <w:tblW w:w="0" w:type="auto"/>
              <w:tblInd w:w="1413" w:type="dxa"/>
              <w:tblLook w:val="04A0" w:firstRow="1" w:lastRow="0" w:firstColumn="1" w:lastColumn="0" w:noHBand="0" w:noVBand="1"/>
            </w:tblPr>
            <w:tblGrid>
              <w:gridCol w:w="2977"/>
              <w:gridCol w:w="850"/>
            </w:tblGrid>
            <w:tr w:rsidR="00F66006" w:rsidRPr="002756E8" w:rsidTr="00F66006">
              <w:tc>
                <w:tcPr>
                  <w:tcW w:w="2977" w:type="dxa"/>
                </w:tcPr>
                <w:p w:rsidR="00F66006" w:rsidRPr="002756E8" w:rsidRDefault="00F66006">
                  <w:pPr>
                    <w:rPr>
                      <w:sz w:val="20"/>
                      <w:szCs w:val="20"/>
                    </w:rPr>
                  </w:pPr>
                  <w:r w:rsidRPr="002756E8">
                    <w:rPr>
                      <w:sz w:val="20"/>
                      <w:szCs w:val="20"/>
                    </w:rPr>
                    <w:t>Spelling</w:t>
                  </w:r>
                </w:p>
              </w:tc>
              <w:tc>
                <w:tcPr>
                  <w:tcW w:w="850" w:type="dxa"/>
                </w:tcPr>
                <w:p w:rsidR="00F66006" w:rsidRPr="002756E8" w:rsidRDefault="00F66006">
                  <w:pPr>
                    <w:rPr>
                      <w:sz w:val="20"/>
                      <w:szCs w:val="20"/>
                    </w:rPr>
                  </w:pPr>
                  <w:r w:rsidRPr="002756E8">
                    <w:rPr>
                      <w:sz w:val="20"/>
                      <w:szCs w:val="20"/>
                    </w:rPr>
                    <w:t>86%</w:t>
                  </w:r>
                </w:p>
              </w:tc>
            </w:tr>
            <w:tr w:rsidR="00F66006" w:rsidRPr="002756E8" w:rsidTr="00F66006">
              <w:tc>
                <w:tcPr>
                  <w:tcW w:w="2977" w:type="dxa"/>
                </w:tcPr>
                <w:p w:rsidR="00F66006" w:rsidRPr="002756E8" w:rsidRDefault="00F66006">
                  <w:pPr>
                    <w:rPr>
                      <w:sz w:val="20"/>
                      <w:szCs w:val="20"/>
                    </w:rPr>
                  </w:pPr>
                  <w:r w:rsidRPr="002756E8">
                    <w:rPr>
                      <w:sz w:val="20"/>
                      <w:szCs w:val="20"/>
                    </w:rPr>
                    <w:t>Grammar</w:t>
                  </w:r>
                </w:p>
              </w:tc>
              <w:tc>
                <w:tcPr>
                  <w:tcW w:w="850" w:type="dxa"/>
                </w:tcPr>
                <w:p w:rsidR="00F66006" w:rsidRPr="002756E8" w:rsidRDefault="00F66006">
                  <w:pPr>
                    <w:rPr>
                      <w:sz w:val="20"/>
                      <w:szCs w:val="20"/>
                    </w:rPr>
                  </w:pPr>
                  <w:r w:rsidRPr="002756E8">
                    <w:rPr>
                      <w:sz w:val="20"/>
                      <w:szCs w:val="20"/>
                    </w:rPr>
                    <w:t>80%</w:t>
                  </w:r>
                </w:p>
              </w:tc>
            </w:tr>
            <w:tr w:rsidR="00F66006" w:rsidRPr="002756E8" w:rsidTr="00F66006">
              <w:tc>
                <w:tcPr>
                  <w:tcW w:w="2977" w:type="dxa"/>
                </w:tcPr>
                <w:p w:rsidR="00F66006" w:rsidRPr="002756E8" w:rsidRDefault="00F66006">
                  <w:pPr>
                    <w:rPr>
                      <w:sz w:val="20"/>
                      <w:szCs w:val="20"/>
                    </w:rPr>
                  </w:pPr>
                  <w:r w:rsidRPr="002756E8">
                    <w:rPr>
                      <w:sz w:val="20"/>
                      <w:szCs w:val="20"/>
                    </w:rPr>
                    <w:t>Structure</w:t>
                  </w:r>
                </w:p>
              </w:tc>
              <w:tc>
                <w:tcPr>
                  <w:tcW w:w="850" w:type="dxa"/>
                </w:tcPr>
                <w:p w:rsidR="00F66006" w:rsidRPr="002756E8" w:rsidRDefault="00F66006">
                  <w:pPr>
                    <w:rPr>
                      <w:sz w:val="20"/>
                      <w:szCs w:val="20"/>
                    </w:rPr>
                  </w:pPr>
                  <w:r w:rsidRPr="002756E8">
                    <w:rPr>
                      <w:sz w:val="20"/>
                      <w:szCs w:val="20"/>
                    </w:rPr>
                    <w:t>82%</w:t>
                  </w:r>
                </w:p>
              </w:tc>
            </w:tr>
            <w:tr w:rsidR="00F66006" w:rsidRPr="002756E8" w:rsidTr="00F66006">
              <w:tc>
                <w:tcPr>
                  <w:tcW w:w="2977" w:type="dxa"/>
                </w:tcPr>
                <w:p w:rsidR="00F66006" w:rsidRPr="002756E8" w:rsidRDefault="00F66006">
                  <w:pPr>
                    <w:rPr>
                      <w:sz w:val="20"/>
                      <w:szCs w:val="20"/>
                    </w:rPr>
                  </w:pPr>
                  <w:r w:rsidRPr="002756E8">
                    <w:rPr>
                      <w:sz w:val="20"/>
                      <w:szCs w:val="20"/>
                    </w:rPr>
                    <w:t>Comprehension</w:t>
                  </w:r>
                </w:p>
              </w:tc>
              <w:tc>
                <w:tcPr>
                  <w:tcW w:w="850" w:type="dxa"/>
                </w:tcPr>
                <w:p w:rsidR="00F66006" w:rsidRPr="002756E8" w:rsidRDefault="00F66006">
                  <w:pPr>
                    <w:rPr>
                      <w:sz w:val="20"/>
                      <w:szCs w:val="20"/>
                    </w:rPr>
                  </w:pPr>
                  <w:r w:rsidRPr="002756E8">
                    <w:rPr>
                      <w:sz w:val="20"/>
                      <w:szCs w:val="20"/>
                    </w:rPr>
                    <w:t>84%</w:t>
                  </w:r>
                </w:p>
              </w:tc>
            </w:tr>
            <w:tr w:rsidR="00F66006" w:rsidRPr="002756E8" w:rsidTr="00F66006">
              <w:tc>
                <w:tcPr>
                  <w:tcW w:w="2977" w:type="dxa"/>
                </w:tcPr>
                <w:p w:rsidR="00F66006" w:rsidRPr="002756E8" w:rsidRDefault="00F66006">
                  <w:pPr>
                    <w:rPr>
                      <w:sz w:val="20"/>
                      <w:szCs w:val="20"/>
                    </w:rPr>
                  </w:pPr>
                  <w:r w:rsidRPr="002756E8">
                    <w:rPr>
                      <w:sz w:val="20"/>
                      <w:szCs w:val="20"/>
                    </w:rPr>
                    <w:t>Critical Thinking</w:t>
                  </w:r>
                </w:p>
              </w:tc>
              <w:tc>
                <w:tcPr>
                  <w:tcW w:w="850" w:type="dxa"/>
                </w:tcPr>
                <w:p w:rsidR="00F66006" w:rsidRPr="002756E8" w:rsidRDefault="00F66006">
                  <w:pPr>
                    <w:rPr>
                      <w:sz w:val="20"/>
                      <w:szCs w:val="20"/>
                    </w:rPr>
                  </w:pPr>
                  <w:r w:rsidRPr="002756E8">
                    <w:rPr>
                      <w:sz w:val="20"/>
                      <w:szCs w:val="20"/>
                    </w:rPr>
                    <w:t>76%</w:t>
                  </w:r>
                </w:p>
              </w:tc>
            </w:tr>
            <w:tr w:rsidR="00F66006" w:rsidRPr="002756E8" w:rsidTr="00F66006">
              <w:tc>
                <w:tcPr>
                  <w:tcW w:w="2977" w:type="dxa"/>
                </w:tcPr>
                <w:p w:rsidR="00F66006" w:rsidRPr="002756E8" w:rsidRDefault="00F66006">
                  <w:pPr>
                    <w:rPr>
                      <w:sz w:val="20"/>
                      <w:szCs w:val="20"/>
                    </w:rPr>
                  </w:pPr>
                  <w:r w:rsidRPr="002756E8">
                    <w:rPr>
                      <w:sz w:val="20"/>
                      <w:szCs w:val="20"/>
                    </w:rPr>
                    <w:t>Work Presentation</w:t>
                  </w:r>
                </w:p>
              </w:tc>
              <w:tc>
                <w:tcPr>
                  <w:tcW w:w="850" w:type="dxa"/>
                </w:tcPr>
                <w:p w:rsidR="00F66006" w:rsidRPr="002756E8" w:rsidRDefault="00F66006">
                  <w:pPr>
                    <w:rPr>
                      <w:sz w:val="20"/>
                      <w:szCs w:val="20"/>
                    </w:rPr>
                  </w:pPr>
                  <w:r w:rsidRPr="002756E8">
                    <w:rPr>
                      <w:sz w:val="20"/>
                      <w:szCs w:val="20"/>
                    </w:rPr>
                    <w:t>81%</w:t>
                  </w:r>
                </w:p>
              </w:tc>
            </w:tr>
            <w:tr w:rsidR="00F66006" w:rsidRPr="002756E8" w:rsidTr="00F66006">
              <w:tc>
                <w:tcPr>
                  <w:tcW w:w="2977" w:type="dxa"/>
                </w:tcPr>
                <w:p w:rsidR="00F66006" w:rsidRPr="002756E8" w:rsidRDefault="00F66006">
                  <w:pPr>
                    <w:rPr>
                      <w:sz w:val="20"/>
                      <w:szCs w:val="20"/>
                    </w:rPr>
                  </w:pPr>
                  <w:r w:rsidRPr="002756E8">
                    <w:rPr>
                      <w:sz w:val="20"/>
                      <w:szCs w:val="20"/>
                    </w:rPr>
                    <w:t>Vocabulary</w:t>
                  </w:r>
                </w:p>
              </w:tc>
              <w:tc>
                <w:tcPr>
                  <w:tcW w:w="850" w:type="dxa"/>
                </w:tcPr>
                <w:p w:rsidR="00F66006" w:rsidRPr="002756E8" w:rsidRDefault="00F66006">
                  <w:pPr>
                    <w:rPr>
                      <w:sz w:val="20"/>
                      <w:szCs w:val="20"/>
                    </w:rPr>
                  </w:pPr>
                  <w:r w:rsidRPr="002756E8">
                    <w:rPr>
                      <w:sz w:val="20"/>
                      <w:szCs w:val="20"/>
                    </w:rPr>
                    <w:t>77%</w:t>
                  </w:r>
                </w:p>
              </w:tc>
            </w:tr>
          </w:tbl>
          <w:p w:rsidR="003B6544" w:rsidRPr="002756E8" w:rsidRDefault="003B6544">
            <w:pPr>
              <w:rPr>
                <w:sz w:val="20"/>
                <w:szCs w:val="20"/>
              </w:rPr>
            </w:pPr>
            <w:r w:rsidRPr="002756E8">
              <w:rPr>
                <w:sz w:val="20"/>
                <w:szCs w:val="20"/>
              </w:rPr>
              <w:t>Questionnaires were given to all First Year and Fourth Year students regarding their reading habits, attitudes to learning and engagement in learning. The results were as follows:</w:t>
            </w:r>
          </w:p>
          <w:tbl>
            <w:tblPr>
              <w:tblStyle w:val="TableGrid"/>
              <w:tblW w:w="0" w:type="auto"/>
              <w:tblInd w:w="1413" w:type="dxa"/>
              <w:tblLook w:val="04A0" w:firstRow="1" w:lastRow="0" w:firstColumn="1" w:lastColumn="0" w:noHBand="0" w:noVBand="1"/>
            </w:tblPr>
            <w:tblGrid>
              <w:gridCol w:w="8788"/>
              <w:gridCol w:w="1670"/>
              <w:gridCol w:w="1632"/>
            </w:tblGrid>
            <w:tr w:rsidR="002756E8" w:rsidRPr="002756E8" w:rsidTr="003B6544">
              <w:tc>
                <w:tcPr>
                  <w:tcW w:w="8788" w:type="dxa"/>
                </w:tcPr>
                <w:p w:rsidR="003B6544" w:rsidRPr="002756E8" w:rsidRDefault="003B6544">
                  <w:pPr>
                    <w:rPr>
                      <w:sz w:val="20"/>
                      <w:szCs w:val="20"/>
                    </w:rPr>
                  </w:pPr>
                </w:p>
              </w:tc>
              <w:tc>
                <w:tcPr>
                  <w:tcW w:w="993" w:type="dxa"/>
                </w:tcPr>
                <w:p w:rsidR="003B6544" w:rsidRPr="002756E8" w:rsidRDefault="003B6544">
                  <w:pPr>
                    <w:rPr>
                      <w:sz w:val="20"/>
                      <w:szCs w:val="20"/>
                    </w:rPr>
                  </w:pPr>
                  <w:r w:rsidRPr="002756E8">
                    <w:rPr>
                      <w:sz w:val="20"/>
                      <w:szCs w:val="20"/>
                    </w:rPr>
                    <w:t>1st</w:t>
                  </w:r>
                </w:p>
              </w:tc>
              <w:tc>
                <w:tcPr>
                  <w:tcW w:w="992" w:type="dxa"/>
                </w:tcPr>
                <w:p w:rsidR="003B6544" w:rsidRPr="002756E8" w:rsidRDefault="003B6544">
                  <w:pPr>
                    <w:rPr>
                      <w:sz w:val="20"/>
                      <w:szCs w:val="20"/>
                    </w:rPr>
                  </w:pPr>
                  <w:r w:rsidRPr="002756E8">
                    <w:rPr>
                      <w:sz w:val="20"/>
                      <w:szCs w:val="20"/>
                    </w:rPr>
                    <w:t>4th</w:t>
                  </w:r>
                </w:p>
              </w:tc>
            </w:tr>
            <w:tr w:rsidR="002756E8" w:rsidRPr="002756E8" w:rsidTr="003B6544">
              <w:tc>
                <w:tcPr>
                  <w:tcW w:w="8788" w:type="dxa"/>
                </w:tcPr>
                <w:p w:rsidR="003B6544" w:rsidRPr="002756E8" w:rsidRDefault="003B6544">
                  <w:pPr>
                    <w:rPr>
                      <w:sz w:val="20"/>
                      <w:szCs w:val="20"/>
                    </w:rPr>
                  </w:pPr>
                  <w:r w:rsidRPr="002756E8">
                    <w:rPr>
                      <w:sz w:val="20"/>
                      <w:szCs w:val="20"/>
                    </w:rPr>
                    <w:t>% of students who read for enjoyment for more than one hour per week</w:t>
                  </w:r>
                </w:p>
              </w:tc>
              <w:tc>
                <w:tcPr>
                  <w:tcW w:w="993" w:type="dxa"/>
                </w:tcPr>
                <w:p w:rsidR="003B6544" w:rsidRPr="002756E8" w:rsidRDefault="002756E8">
                  <w:pPr>
                    <w:rPr>
                      <w:sz w:val="20"/>
                      <w:szCs w:val="20"/>
                    </w:rPr>
                  </w:pPr>
                  <w:r w:rsidRPr="002756E8">
                    <w:rPr>
                      <w:sz w:val="20"/>
                      <w:szCs w:val="20"/>
                    </w:rPr>
                    <w:t>85.5%</w:t>
                  </w:r>
                </w:p>
              </w:tc>
              <w:tc>
                <w:tcPr>
                  <w:tcW w:w="992" w:type="dxa"/>
                </w:tcPr>
                <w:p w:rsidR="003B6544" w:rsidRPr="002756E8" w:rsidRDefault="002756E8">
                  <w:pPr>
                    <w:rPr>
                      <w:sz w:val="20"/>
                      <w:szCs w:val="20"/>
                    </w:rPr>
                  </w:pPr>
                  <w:r w:rsidRPr="002756E8">
                    <w:rPr>
                      <w:sz w:val="20"/>
                      <w:szCs w:val="20"/>
                    </w:rPr>
                    <w:t>44%</w:t>
                  </w:r>
                </w:p>
              </w:tc>
            </w:tr>
            <w:tr w:rsidR="002756E8" w:rsidRPr="002756E8" w:rsidTr="003B6544">
              <w:tc>
                <w:tcPr>
                  <w:tcW w:w="8788" w:type="dxa"/>
                </w:tcPr>
                <w:p w:rsidR="003B6544" w:rsidRPr="002756E8" w:rsidRDefault="008072B9">
                  <w:pPr>
                    <w:rPr>
                      <w:sz w:val="20"/>
                      <w:szCs w:val="20"/>
                    </w:rPr>
                  </w:pPr>
                  <w:r w:rsidRPr="002756E8">
                    <w:rPr>
                      <w:sz w:val="20"/>
                      <w:szCs w:val="20"/>
                    </w:rPr>
                    <w:t>Most popular reading materials</w:t>
                  </w:r>
                </w:p>
              </w:tc>
              <w:tc>
                <w:tcPr>
                  <w:tcW w:w="993" w:type="dxa"/>
                </w:tcPr>
                <w:p w:rsidR="003B6544" w:rsidRPr="002756E8" w:rsidRDefault="002756E8">
                  <w:pPr>
                    <w:rPr>
                      <w:sz w:val="20"/>
                      <w:szCs w:val="20"/>
                    </w:rPr>
                  </w:pPr>
                  <w:r w:rsidRPr="002756E8">
                    <w:rPr>
                      <w:sz w:val="20"/>
                      <w:szCs w:val="20"/>
                    </w:rPr>
                    <w:t>Magazines 35%</w:t>
                  </w:r>
                </w:p>
              </w:tc>
              <w:tc>
                <w:tcPr>
                  <w:tcW w:w="992" w:type="dxa"/>
                </w:tcPr>
                <w:p w:rsidR="003B6544" w:rsidRPr="002756E8" w:rsidRDefault="002756E8">
                  <w:pPr>
                    <w:rPr>
                      <w:sz w:val="20"/>
                      <w:szCs w:val="20"/>
                    </w:rPr>
                  </w:pPr>
                  <w:r w:rsidRPr="002756E8">
                    <w:rPr>
                      <w:sz w:val="20"/>
                      <w:szCs w:val="20"/>
                    </w:rPr>
                    <w:t>Magazines</w:t>
                  </w:r>
                </w:p>
                <w:p w:rsidR="002756E8" w:rsidRPr="002756E8" w:rsidRDefault="002756E8">
                  <w:pPr>
                    <w:rPr>
                      <w:sz w:val="20"/>
                      <w:szCs w:val="20"/>
                    </w:rPr>
                  </w:pPr>
                  <w:r w:rsidRPr="002756E8">
                    <w:rPr>
                      <w:sz w:val="20"/>
                      <w:szCs w:val="20"/>
                    </w:rPr>
                    <w:t>31%</w:t>
                  </w:r>
                </w:p>
              </w:tc>
            </w:tr>
            <w:tr w:rsidR="002756E8" w:rsidRPr="002756E8" w:rsidTr="003B6544">
              <w:tc>
                <w:tcPr>
                  <w:tcW w:w="8788" w:type="dxa"/>
                </w:tcPr>
                <w:p w:rsidR="003B6544" w:rsidRPr="002756E8" w:rsidRDefault="008072B9">
                  <w:pPr>
                    <w:rPr>
                      <w:sz w:val="20"/>
                      <w:szCs w:val="20"/>
                    </w:rPr>
                  </w:pPr>
                  <w:r w:rsidRPr="002756E8">
                    <w:rPr>
                      <w:sz w:val="20"/>
                      <w:szCs w:val="20"/>
                    </w:rPr>
                    <w:t>When/Where do you most like reading</w:t>
                  </w:r>
                </w:p>
              </w:tc>
              <w:tc>
                <w:tcPr>
                  <w:tcW w:w="993" w:type="dxa"/>
                </w:tcPr>
                <w:p w:rsidR="003B6544" w:rsidRPr="002756E8" w:rsidRDefault="002756E8">
                  <w:pPr>
                    <w:rPr>
                      <w:sz w:val="20"/>
                      <w:szCs w:val="20"/>
                    </w:rPr>
                  </w:pPr>
                  <w:r w:rsidRPr="002756E8">
                    <w:rPr>
                      <w:sz w:val="20"/>
                      <w:szCs w:val="20"/>
                    </w:rPr>
                    <w:t>Diary/letter/short story – 27%</w:t>
                  </w:r>
                </w:p>
              </w:tc>
              <w:tc>
                <w:tcPr>
                  <w:tcW w:w="992" w:type="dxa"/>
                </w:tcPr>
                <w:p w:rsidR="003B6544" w:rsidRPr="002756E8" w:rsidRDefault="002756E8">
                  <w:pPr>
                    <w:rPr>
                      <w:sz w:val="20"/>
                      <w:szCs w:val="20"/>
                    </w:rPr>
                  </w:pPr>
                  <w:r w:rsidRPr="002756E8">
                    <w:rPr>
                      <w:sz w:val="20"/>
                      <w:szCs w:val="20"/>
                    </w:rPr>
                    <w:t>Blog, Facebook/twitter – 32%</w:t>
                  </w:r>
                </w:p>
              </w:tc>
            </w:tr>
            <w:tr w:rsidR="002756E8" w:rsidRPr="002756E8" w:rsidTr="003B6544">
              <w:tc>
                <w:tcPr>
                  <w:tcW w:w="8788" w:type="dxa"/>
                </w:tcPr>
                <w:p w:rsidR="003B6544" w:rsidRPr="002756E8" w:rsidRDefault="008072B9">
                  <w:pPr>
                    <w:rPr>
                      <w:sz w:val="20"/>
                      <w:szCs w:val="20"/>
                    </w:rPr>
                  </w:pPr>
                  <w:r w:rsidRPr="002756E8">
                    <w:rPr>
                      <w:sz w:val="20"/>
                      <w:szCs w:val="20"/>
                    </w:rPr>
                    <w:t>Students are most comfortable sharing their ideas in what situation</w:t>
                  </w:r>
                </w:p>
              </w:tc>
              <w:tc>
                <w:tcPr>
                  <w:tcW w:w="993" w:type="dxa"/>
                </w:tcPr>
                <w:p w:rsidR="003B6544" w:rsidRPr="002756E8" w:rsidRDefault="002756E8">
                  <w:pPr>
                    <w:rPr>
                      <w:sz w:val="20"/>
                      <w:szCs w:val="20"/>
                    </w:rPr>
                  </w:pPr>
                  <w:r w:rsidRPr="002756E8">
                    <w:rPr>
                      <w:sz w:val="20"/>
                      <w:szCs w:val="20"/>
                    </w:rPr>
                    <w:t>Small groups – 60.5%</w:t>
                  </w:r>
                </w:p>
              </w:tc>
              <w:tc>
                <w:tcPr>
                  <w:tcW w:w="992" w:type="dxa"/>
                </w:tcPr>
                <w:p w:rsidR="003B6544" w:rsidRPr="002756E8" w:rsidRDefault="002756E8">
                  <w:pPr>
                    <w:rPr>
                      <w:sz w:val="20"/>
                      <w:szCs w:val="20"/>
                    </w:rPr>
                  </w:pPr>
                  <w:r w:rsidRPr="002756E8">
                    <w:rPr>
                      <w:sz w:val="20"/>
                      <w:szCs w:val="20"/>
                    </w:rPr>
                    <w:t>Small groups – 38%</w:t>
                  </w:r>
                </w:p>
              </w:tc>
            </w:tr>
            <w:tr w:rsidR="002756E8" w:rsidRPr="002756E8" w:rsidTr="003B6544">
              <w:tc>
                <w:tcPr>
                  <w:tcW w:w="8788" w:type="dxa"/>
                </w:tcPr>
                <w:p w:rsidR="003B6544" w:rsidRPr="002756E8" w:rsidRDefault="008072B9">
                  <w:pPr>
                    <w:rPr>
                      <w:sz w:val="20"/>
                      <w:szCs w:val="20"/>
                    </w:rPr>
                  </w:pPr>
                  <w:r w:rsidRPr="002756E8">
                    <w:rPr>
                      <w:sz w:val="20"/>
                      <w:szCs w:val="20"/>
                    </w:rPr>
                    <w:t>Students recall main points of lesson : Always, Sometimes, Never</w:t>
                  </w:r>
                </w:p>
              </w:tc>
              <w:tc>
                <w:tcPr>
                  <w:tcW w:w="993" w:type="dxa"/>
                </w:tcPr>
                <w:p w:rsidR="003B6544" w:rsidRPr="002756E8" w:rsidRDefault="002756E8">
                  <w:pPr>
                    <w:rPr>
                      <w:sz w:val="20"/>
                      <w:szCs w:val="20"/>
                    </w:rPr>
                  </w:pPr>
                  <w:r w:rsidRPr="002756E8">
                    <w:rPr>
                      <w:sz w:val="20"/>
                      <w:szCs w:val="20"/>
                    </w:rPr>
                    <w:t>Sometimes – 69%</w:t>
                  </w:r>
                </w:p>
              </w:tc>
              <w:tc>
                <w:tcPr>
                  <w:tcW w:w="992" w:type="dxa"/>
                </w:tcPr>
                <w:p w:rsidR="003B6544" w:rsidRPr="002756E8" w:rsidRDefault="002756E8">
                  <w:pPr>
                    <w:rPr>
                      <w:sz w:val="20"/>
                      <w:szCs w:val="20"/>
                    </w:rPr>
                  </w:pPr>
                  <w:r w:rsidRPr="002756E8">
                    <w:rPr>
                      <w:sz w:val="20"/>
                      <w:szCs w:val="20"/>
                    </w:rPr>
                    <w:t>Sometimes – 66%</w:t>
                  </w:r>
                </w:p>
              </w:tc>
            </w:tr>
            <w:tr w:rsidR="002756E8" w:rsidRPr="002756E8" w:rsidTr="003B6544">
              <w:tc>
                <w:tcPr>
                  <w:tcW w:w="8788" w:type="dxa"/>
                </w:tcPr>
                <w:p w:rsidR="003B6544" w:rsidRPr="002756E8" w:rsidRDefault="008072B9">
                  <w:pPr>
                    <w:rPr>
                      <w:sz w:val="20"/>
                      <w:szCs w:val="20"/>
                    </w:rPr>
                  </w:pPr>
                  <w:r w:rsidRPr="002756E8">
                    <w:rPr>
                      <w:sz w:val="20"/>
                      <w:szCs w:val="20"/>
                    </w:rPr>
                    <w:t>Students favourite way to learn</w:t>
                  </w:r>
                </w:p>
              </w:tc>
              <w:tc>
                <w:tcPr>
                  <w:tcW w:w="993" w:type="dxa"/>
                </w:tcPr>
                <w:p w:rsidR="003B6544" w:rsidRPr="002756E8" w:rsidRDefault="002756E8">
                  <w:pPr>
                    <w:rPr>
                      <w:sz w:val="20"/>
                      <w:szCs w:val="20"/>
                    </w:rPr>
                  </w:pPr>
                  <w:r>
                    <w:rPr>
                      <w:sz w:val="20"/>
                      <w:szCs w:val="20"/>
                    </w:rPr>
                    <w:t>Small groups – 35%</w:t>
                  </w:r>
                </w:p>
              </w:tc>
              <w:tc>
                <w:tcPr>
                  <w:tcW w:w="992" w:type="dxa"/>
                </w:tcPr>
                <w:p w:rsidR="003B6544" w:rsidRPr="002756E8" w:rsidRDefault="002756E8">
                  <w:pPr>
                    <w:rPr>
                      <w:sz w:val="20"/>
                      <w:szCs w:val="20"/>
                    </w:rPr>
                  </w:pPr>
                  <w:r>
                    <w:rPr>
                      <w:sz w:val="20"/>
                      <w:szCs w:val="20"/>
                    </w:rPr>
                    <w:t>Pairs &amp; small groups – both 20%</w:t>
                  </w:r>
                </w:p>
              </w:tc>
            </w:tr>
          </w:tbl>
          <w:p w:rsidR="002E4C82" w:rsidRPr="002756E8" w:rsidRDefault="002E4C82">
            <w:pPr>
              <w:rPr>
                <w:sz w:val="20"/>
                <w:szCs w:val="20"/>
              </w:rPr>
            </w:pPr>
          </w:p>
        </w:tc>
      </w:tr>
      <w:tr w:rsidR="001C1DD4" w:rsidTr="001C1DD4">
        <w:tc>
          <w:tcPr>
            <w:tcW w:w="3936" w:type="dxa"/>
            <w:gridSpan w:val="2"/>
          </w:tcPr>
          <w:p w:rsidR="001C1DD4" w:rsidRDefault="001C1DD4" w:rsidP="00E65D1E"/>
          <w:p w:rsidR="001C1DD4" w:rsidRDefault="001C1DD4" w:rsidP="00E65D1E">
            <w:r>
              <w:t>Summary of Main Strengths</w:t>
            </w:r>
          </w:p>
          <w:p w:rsidR="001C1DD4" w:rsidRDefault="001C1DD4" w:rsidP="00E65D1E"/>
          <w:p w:rsidR="001C1DD4" w:rsidRDefault="001C1DD4" w:rsidP="00E65D1E"/>
          <w:p w:rsidR="001C1DD4" w:rsidRDefault="001C1DD4" w:rsidP="00E65D1E"/>
          <w:p w:rsidR="001C1DD4" w:rsidRDefault="001C1DD4" w:rsidP="00E65D1E"/>
        </w:tc>
        <w:tc>
          <w:tcPr>
            <w:tcW w:w="10238" w:type="dxa"/>
            <w:gridSpan w:val="4"/>
          </w:tcPr>
          <w:p w:rsidR="001C1DD4" w:rsidRDefault="001C1DD4" w:rsidP="00E65D1E"/>
          <w:p w:rsidR="001C1DD4" w:rsidRDefault="001C1DD4" w:rsidP="001C1DD4">
            <w:pPr>
              <w:pStyle w:val="ListParagraph"/>
              <w:numPr>
                <w:ilvl w:val="0"/>
                <w:numId w:val="1"/>
              </w:numPr>
            </w:pPr>
            <w:r>
              <w:t xml:space="preserve">The results of the </w:t>
            </w:r>
            <w:proofErr w:type="spellStart"/>
            <w:r>
              <w:t>Drumcondra</w:t>
            </w:r>
            <w:proofErr w:type="spellEnd"/>
            <w:r>
              <w:t xml:space="preserve"> Reasoning test indicate that 79% of our First Year students are in the Average to Superior Range in Verbal Reasoning.</w:t>
            </w:r>
          </w:p>
          <w:p w:rsidR="001C1DD4" w:rsidRDefault="001C1DD4" w:rsidP="001C1DD4">
            <w:pPr>
              <w:pStyle w:val="ListParagraph"/>
              <w:numPr>
                <w:ilvl w:val="0"/>
                <w:numId w:val="1"/>
              </w:numPr>
            </w:pPr>
            <w:r>
              <w:t>The literacy skills of our first year students are in the high average range according to ‘The Literacy Checklist’.</w:t>
            </w:r>
          </w:p>
          <w:p w:rsidR="001C1DD4" w:rsidRDefault="00123E0A" w:rsidP="001C1DD4">
            <w:pPr>
              <w:pStyle w:val="ListParagraph"/>
              <w:numPr>
                <w:ilvl w:val="0"/>
                <w:numId w:val="1"/>
              </w:numPr>
            </w:pPr>
            <w:r>
              <w:t>The majority of our teaching staff use comprehension strategies, higher and lower order questioning as well as paired and grouped work during their classes ( according to our staff questionnaire). However, teachers themselves identified the need to allow students sufficient time during the lesson to make their own notes (may be done in pairs or in a small groups if relevant to lesson).</w:t>
            </w:r>
          </w:p>
          <w:p w:rsidR="00123E0A" w:rsidRDefault="00123E0A" w:rsidP="001C1DD4">
            <w:pPr>
              <w:pStyle w:val="ListParagraph"/>
              <w:numPr>
                <w:ilvl w:val="0"/>
                <w:numId w:val="1"/>
              </w:numPr>
            </w:pPr>
            <w:r>
              <w:t>First year students read mainly magazines and fiction on a regular basis for enjoyment but 4</w:t>
            </w:r>
            <w:r w:rsidRPr="00123E0A">
              <w:rPr>
                <w:vertAlign w:val="superscript"/>
              </w:rPr>
              <w:t>th</w:t>
            </w:r>
            <w:r>
              <w:t xml:space="preserve"> years need to be encouraged to do more reading – magazines suited their interests but not enough of these in our school library.</w:t>
            </w:r>
          </w:p>
          <w:p w:rsidR="00123E0A" w:rsidRDefault="00123E0A" w:rsidP="001C1DD4">
            <w:pPr>
              <w:pStyle w:val="ListParagraph"/>
              <w:numPr>
                <w:ilvl w:val="0"/>
                <w:numId w:val="1"/>
              </w:numPr>
            </w:pPr>
            <w:r>
              <w:t>Students are getting sufficient time in class to develop their oral skills and individual and group presentations are common practice.</w:t>
            </w:r>
          </w:p>
          <w:p w:rsidR="00123E0A" w:rsidRDefault="00123E0A" w:rsidP="001C1DD4">
            <w:pPr>
              <w:pStyle w:val="ListParagraph"/>
              <w:numPr>
                <w:ilvl w:val="0"/>
                <w:numId w:val="1"/>
              </w:numPr>
            </w:pPr>
            <w:r>
              <w:t>As a small school sharing of ideas is common practice as is discussion on individual students and class groups.</w:t>
            </w:r>
          </w:p>
        </w:tc>
      </w:tr>
      <w:tr w:rsidR="001C1DD4" w:rsidTr="001C1DD4">
        <w:tc>
          <w:tcPr>
            <w:tcW w:w="3936" w:type="dxa"/>
            <w:gridSpan w:val="2"/>
          </w:tcPr>
          <w:p w:rsidR="001C1DD4" w:rsidRDefault="001C1DD4" w:rsidP="00E65D1E"/>
          <w:p w:rsidR="00123E0A" w:rsidRDefault="00123E0A" w:rsidP="00E65D1E">
            <w:r>
              <w:t>Summary of the main areas requiring improvement</w:t>
            </w:r>
          </w:p>
        </w:tc>
        <w:tc>
          <w:tcPr>
            <w:tcW w:w="10238" w:type="dxa"/>
            <w:gridSpan w:val="4"/>
          </w:tcPr>
          <w:p w:rsidR="001C1DD4" w:rsidRDefault="001C1DD4" w:rsidP="00E65D1E"/>
          <w:p w:rsidR="00410734" w:rsidRDefault="00410734" w:rsidP="00410734">
            <w:pPr>
              <w:pStyle w:val="ListParagraph"/>
              <w:numPr>
                <w:ilvl w:val="0"/>
                <w:numId w:val="3"/>
              </w:numPr>
            </w:pPr>
            <w:r>
              <w:t xml:space="preserve">Increase expectations and improve standards in critical thinking across all subjects – Allow student’s time to critically analyse, formulate an opinion and write their own notes. Decrease </w:t>
            </w:r>
            <w:proofErr w:type="gramStart"/>
            <w:r>
              <w:t>dependency  on</w:t>
            </w:r>
            <w:proofErr w:type="gramEnd"/>
            <w:r>
              <w:t xml:space="preserve"> the teachers notes.</w:t>
            </w:r>
            <w:r w:rsidR="00FE3F9A">
              <w:t xml:space="preserve"> On average, the </w:t>
            </w:r>
            <w:proofErr w:type="gramStart"/>
            <w:r w:rsidR="00FE3F9A">
              <w:t>staff of MSLT focus</w:t>
            </w:r>
            <w:proofErr w:type="gramEnd"/>
            <w:r w:rsidR="00FE3F9A">
              <w:t xml:space="preserve"> 34% of class time on independent learning with 18% devoted to small groups and only 2% of time given to allow students to make their own notes.</w:t>
            </w:r>
          </w:p>
          <w:p w:rsidR="00410734" w:rsidRDefault="00410734" w:rsidP="00410734">
            <w:pPr>
              <w:pStyle w:val="ListParagraph"/>
              <w:numPr>
                <w:ilvl w:val="0"/>
                <w:numId w:val="3"/>
              </w:numPr>
            </w:pPr>
            <w:r>
              <w:t>Develop group work and paired work strategies across all subject areas – Summarise main points in groups, make notes in groups, present the main points of lesson to the class in groups/pairs etc.</w:t>
            </w:r>
          </w:p>
          <w:p w:rsidR="00410734" w:rsidRDefault="00410734" w:rsidP="00410734">
            <w:pPr>
              <w:pStyle w:val="ListParagraph"/>
              <w:numPr>
                <w:ilvl w:val="0"/>
                <w:numId w:val="3"/>
              </w:numPr>
            </w:pPr>
            <w:r>
              <w:t xml:space="preserve">Encourage reading for enjoyment amongst all students. Students need to have a book, magazine etc. with them at all times. Build on current projects like ‘drop &amp; read’, ‘the </w:t>
            </w:r>
            <w:proofErr w:type="spellStart"/>
            <w:r>
              <w:t>ty</w:t>
            </w:r>
            <w:proofErr w:type="spellEnd"/>
            <w:r>
              <w:t xml:space="preserve"> </w:t>
            </w:r>
            <w:proofErr w:type="gramStart"/>
            <w:r>
              <w:t>times’ ,</w:t>
            </w:r>
            <w:proofErr w:type="gramEnd"/>
            <w:r>
              <w:t xml:space="preserve"> ‘literacy board’ etc.</w:t>
            </w:r>
          </w:p>
          <w:p w:rsidR="00410734" w:rsidRDefault="00410734" w:rsidP="00410734">
            <w:pPr>
              <w:pStyle w:val="ListParagraph"/>
              <w:numPr>
                <w:ilvl w:val="0"/>
                <w:numId w:val="3"/>
              </w:numPr>
            </w:pPr>
            <w:r>
              <w:t>All teachers of all subjects to focus on students literacy skills. Correct grammar, punctuation and spelling mistakes.</w:t>
            </w:r>
          </w:p>
          <w:p w:rsidR="00410734" w:rsidRDefault="00410734" w:rsidP="00410734">
            <w:pPr>
              <w:pStyle w:val="ListParagraph"/>
              <w:numPr>
                <w:ilvl w:val="0"/>
                <w:numId w:val="3"/>
              </w:numPr>
            </w:pPr>
            <w:r>
              <w:t>Develop our school resources – eBooks, kindle, tablets, books, magazines, newspapers, apps etc. to meet the requirement of students and to facilitate reading for enjoyment.</w:t>
            </w:r>
          </w:p>
          <w:p w:rsidR="00410734" w:rsidRDefault="00410734" w:rsidP="00410734"/>
          <w:p w:rsidR="00410734" w:rsidRDefault="00410734" w:rsidP="00410734"/>
          <w:p w:rsidR="00410734" w:rsidRDefault="00410734" w:rsidP="00410734"/>
          <w:p w:rsidR="00410734" w:rsidRDefault="00410734" w:rsidP="00410734"/>
          <w:p w:rsidR="00410734" w:rsidRDefault="00410734" w:rsidP="00410734"/>
        </w:tc>
      </w:tr>
      <w:tr w:rsidR="00D90BF9" w:rsidTr="00D90BF9">
        <w:tc>
          <w:tcPr>
            <w:tcW w:w="2834" w:type="dxa"/>
          </w:tcPr>
          <w:p w:rsidR="00D90BF9" w:rsidRDefault="00D90BF9" w:rsidP="00E65D1E"/>
          <w:p w:rsidR="00D90BF9" w:rsidRDefault="00D90BF9" w:rsidP="00E65D1E">
            <w:r>
              <w:t>Improvement Targets</w:t>
            </w:r>
          </w:p>
          <w:p w:rsidR="00D90BF9" w:rsidRDefault="00D90BF9" w:rsidP="00E65D1E"/>
        </w:tc>
        <w:tc>
          <w:tcPr>
            <w:tcW w:w="4362" w:type="dxa"/>
            <w:gridSpan w:val="2"/>
          </w:tcPr>
          <w:p w:rsidR="00D90BF9" w:rsidRDefault="00D90BF9" w:rsidP="00E65D1E"/>
          <w:p w:rsidR="00D90BF9" w:rsidRDefault="00D90BF9" w:rsidP="00E65D1E">
            <w:r>
              <w:t>Required actions</w:t>
            </w:r>
          </w:p>
        </w:tc>
        <w:tc>
          <w:tcPr>
            <w:tcW w:w="2268" w:type="dxa"/>
          </w:tcPr>
          <w:p w:rsidR="00D90BF9" w:rsidRDefault="00D90BF9" w:rsidP="00E65D1E"/>
          <w:p w:rsidR="00D90BF9" w:rsidRDefault="00D90BF9" w:rsidP="00E65D1E">
            <w:r>
              <w:t>Persons Responsible</w:t>
            </w:r>
          </w:p>
        </w:tc>
        <w:tc>
          <w:tcPr>
            <w:tcW w:w="2693" w:type="dxa"/>
          </w:tcPr>
          <w:p w:rsidR="00D90BF9" w:rsidRDefault="00D90BF9" w:rsidP="00E65D1E"/>
          <w:p w:rsidR="00D90BF9" w:rsidRDefault="00D90BF9" w:rsidP="00E65D1E">
            <w:r>
              <w:t>Success Criteria/Measurable outcomes</w:t>
            </w:r>
          </w:p>
        </w:tc>
        <w:tc>
          <w:tcPr>
            <w:tcW w:w="2017" w:type="dxa"/>
          </w:tcPr>
          <w:p w:rsidR="00D90BF9" w:rsidRDefault="00D90BF9" w:rsidP="00E65D1E"/>
          <w:p w:rsidR="00D90BF9" w:rsidRDefault="00D90BF9" w:rsidP="00E65D1E">
            <w:r>
              <w:t>Timeframe for actions</w:t>
            </w:r>
          </w:p>
        </w:tc>
      </w:tr>
      <w:tr w:rsidR="00D90BF9" w:rsidTr="00D90BF9">
        <w:tc>
          <w:tcPr>
            <w:tcW w:w="2834" w:type="dxa"/>
          </w:tcPr>
          <w:p w:rsidR="00D90BF9" w:rsidRDefault="00D90BF9" w:rsidP="00E65D1E"/>
          <w:p w:rsidR="00D90BF9" w:rsidRDefault="00D90BF9" w:rsidP="00E65D1E"/>
          <w:p w:rsidR="00D90BF9" w:rsidRDefault="009E58A2" w:rsidP="00594776">
            <w:r>
              <w:t>Increase students critical thinking score from 76% to 79% by May 2014</w:t>
            </w:r>
          </w:p>
          <w:p w:rsidR="00D90BF9" w:rsidRPr="00594776" w:rsidRDefault="009E58A2" w:rsidP="00594776">
            <w:pPr>
              <w:rPr>
                <w:i/>
                <w:sz w:val="18"/>
                <w:szCs w:val="18"/>
              </w:rPr>
            </w:pPr>
            <w:r>
              <w:t>*</w:t>
            </w:r>
            <w:r w:rsidRPr="00594776">
              <w:rPr>
                <w:i/>
                <w:sz w:val="18"/>
                <w:szCs w:val="18"/>
              </w:rPr>
              <w:t>based on first year class 2013 – literacy checklist</w:t>
            </w:r>
          </w:p>
          <w:p w:rsidR="00D90BF9" w:rsidRDefault="00D90BF9" w:rsidP="00E65D1E"/>
          <w:p w:rsidR="00D90BF9" w:rsidRDefault="00594776" w:rsidP="00E65D1E">
            <w:r>
              <w:t>Increase the % of time students are given to make their own notes from 2% to 20% by May 2014</w:t>
            </w:r>
          </w:p>
          <w:p w:rsidR="00594776" w:rsidRPr="00594776" w:rsidRDefault="00594776" w:rsidP="00E65D1E">
            <w:pPr>
              <w:rPr>
                <w:i/>
                <w:sz w:val="18"/>
                <w:szCs w:val="18"/>
              </w:rPr>
            </w:pPr>
            <w:r>
              <w:rPr>
                <w:i/>
                <w:sz w:val="18"/>
                <w:szCs w:val="18"/>
              </w:rPr>
              <w:t>Based on first year class 2013 – class survey</w:t>
            </w:r>
          </w:p>
          <w:p w:rsidR="00D90BF9" w:rsidRDefault="00D90BF9" w:rsidP="00E65D1E"/>
          <w:p w:rsidR="00D90BF9" w:rsidRDefault="00D90BF9" w:rsidP="00E65D1E"/>
          <w:p w:rsidR="00D90BF9" w:rsidRDefault="00D90BF9" w:rsidP="00E65D1E"/>
          <w:p w:rsidR="00D90BF9" w:rsidRDefault="00D90BF9" w:rsidP="00E65D1E"/>
          <w:p w:rsidR="00D90BF9" w:rsidRDefault="00D90BF9" w:rsidP="00E65D1E"/>
          <w:p w:rsidR="00D90BF9" w:rsidRDefault="00D90BF9" w:rsidP="00E65D1E"/>
          <w:p w:rsidR="00D90BF9" w:rsidRDefault="00D90BF9" w:rsidP="00E65D1E"/>
          <w:p w:rsidR="00D90BF9" w:rsidRDefault="00D90BF9" w:rsidP="00E65D1E"/>
        </w:tc>
        <w:tc>
          <w:tcPr>
            <w:tcW w:w="4362" w:type="dxa"/>
            <w:gridSpan w:val="2"/>
          </w:tcPr>
          <w:p w:rsidR="00D90BF9" w:rsidRDefault="00D90BF9" w:rsidP="00E65D1E"/>
          <w:p w:rsidR="009E58A2" w:rsidRDefault="009E58A2" w:rsidP="009E58A2"/>
          <w:p w:rsidR="00FE3F9A" w:rsidRDefault="00594776" w:rsidP="00594776">
            <w:pPr>
              <w:pStyle w:val="ListParagraph"/>
              <w:numPr>
                <w:ilvl w:val="0"/>
                <w:numId w:val="5"/>
              </w:numPr>
            </w:pPr>
            <w:r>
              <w:t>Give students the skills to make notes –Use of I.C.T , mind maps, online tools</w:t>
            </w:r>
            <w:r w:rsidR="00FE3F9A">
              <w:t xml:space="preserve">, </w:t>
            </w:r>
          </w:p>
          <w:p w:rsidR="00594776" w:rsidRDefault="00FE3F9A" w:rsidP="00594776">
            <w:pPr>
              <w:pStyle w:val="ListParagraph"/>
              <w:numPr>
                <w:ilvl w:val="0"/>
                <w:numId w:val="5"/>
              </w:numPr>
            </w:pPr>
            <w:r>
              <w:t xml:space="preserve">Use Higher Order questions, investigative approaches </w:t>
            </w:r>
            <w:r w:rsidR="00DE0559">
              <w:t>(research projects)</w:t>
            </w:r>
            <w:r>
              <w:t>as well as guided discussion and the debating of topics</w:t>
            </w:r>
          </w:p>
          <w:p w:rsidR="00594776" w:rsidRDefault="00594776" w:rsidP="00594776">
            <w:pPr>
              <w:pStyle w:val="ListParagraph"/>
              <w:numPr>
                <w:ilvl w:val="0"/>
                <w:numId w:val="5"/>
              </w:numPr>
            </w:pPr>
            <w:r>
              <w:t>Allow 5/10 minutes at the end of class for students to make their own notes –May be done in Pairs or small groups</w:t>
            </w:r>
          </w:p>
          <w:p w:rsidR="00FE3F9A" w:rsidRDefault="00594776" w:rsidP="00594776">
            <w:pPr>
              <w:pStyle w:val="ListParagraph"/>
              <w:numPr>
                <w:ilvl w:val="0"/>
                <w:numId w:val="5"/>
              </w:numPr>
            </w:pPr>
            <w:r>
              <w:t>Put key words on the wall, board etc. to focus students thought process.</w:t>
            </w:r>
          </w:p>
          <w:p w:rsidR="00C17201" w:rsidRDefault="00DE0559" w:rsidP="00594776">
            <w:pPr>
              <w:pStyle w:val="ListParagraph"/>
              <w:numPr>
                <w:ilvl w:val="0"/>
                <w:numId w:val="5"/>
              </w:numPr>
            </w:pPr>
            <w:r>
              <w:t>Introduce more paired and group work into lessons as this is the students preferred way to learn (1</w:t>
            </w:r>
            <w:r w:rsidRPr="00DE0559">
              <w:rPr>
                <w:vertAlign w:val="superscript"/>
              </w:rPr>
              <w:t>st</w:t>
            </w:r>
            <w:r>
              <w:t xml:space="preserve"> 35%, 4</w:t>
            </w:r>
            <w:r w:rsidRPr="00DE0559">
              <w:rPr>
                <w:vertAlign w:val="superscript"/>
              </w:rPr>
              <w:t>th</w:t>
            </w:r>
            <w:r>
              <w:t xml:space="preserve"> 20%). Also, assist students with paired and small group presentations.</w:t>
            </w:r>
            <w:r w:rsidR="00594776">
              <w:t xml:space="preserve"> </w:t>
            </w:r>
          </w:p>
          <w:p w:rsidR="00C17201" w:rsidRDefault="00C17201" w:rsidP="00594776">
            <w:pPr>
              <w:pStyle w:val="ListParagraph"/>
              <w:numPr>
                <w:ilvl w:val="0"/>
                <w:numId w:val="5"/>
              </w:numPr>
            </w:pPr>
            <w:r>
              <w:t>Implement a 6 week creative writing workshop for all 1</w:t>
            </w:r>
            <w:r w:rsidRPr="00C17201">
              <w:rPr>
                <w:vertAlign w:val="superscript"/>
              </w:rPr>
              <w:t>st</w:t>
            </w:r>
            <w:r>
              <w:t xml:space="preserve"> and 2</w:t>
            </w:r>
            <w:r w:rsidRPr="00C17201">
              <w:rPr>
                <w:vertAlign w:val="superscript"/>
              </w:rPr>
              <w:t>nd</w:t>
            </w:r>
            <w:r>
              <w:t xml:space="preserve"> year students</w:t>
            </w:r>
            <w:r w:rsidR="00594776">
              <w:t xml:space="preserve">  </w:t>
            </w:r>
          </w:p>
          <w:p w:rsidR="00594776" w:rsidRDefault="00C17201" w:rsidP="00594776">
            <w:pPr>
              <w:pStyle w:val="ListParagraph"/>
              <w:numPr>
                <w:ilvl w:val="0"/>
                <w:numId w:val="5"/>
              </w:numPr>
            </w:pPr>
            <w:r>
              <w:t>Introduce a common ‘Literacy Checklist’ when grading a continuous piece of writing.</w:t>
            </w:r>
            <w:r w:rsidR="00594776">
              <w:t xml:space="preserve">       </w:t>
            </w:r>
          </w:p>
          <w:p w:rsidR="00594776" w:rsidRDefault="00594776" w:rsidP="00594776">
            <w:pPr>
              <w:pStyle w:val="ListParagraph"/>
            </w:pPr>
            <w:r>
              <w:t xml:space="preserve"> </w:t>
            </w:r>
          </w:p>
        </w:tc>
        <w:tc>
          <w:tcPr>
            <w:tcW w:w="2268" w:type="dxa"/>
          </w:tcPr>
          <w:p w:rsidR="00D90BF9" w:rsidRDefault="00D90BF9" w:rsidP="00E65D1E"/>
          <w:p w:rsidR="00C17201" w:rsidRDefault="00C17201" w:rsidP="00E65D1E"/>
          <w:p w:rsidR="00C17201" w:rsidRDefault="00C17201" w:rsidP="00E65D1E">
            <w:r>
              <w:t>All Teachers</w:t>
            </w:r>
          </w:p>
          <w:p w:rsidR="00C17201" w:rsidRDefault="00C17201" w:rsidP="00E65D1E"/>
          <w:p w:rsidR="00C17201" w:rsidRDefault="00C17201" w:rsidP="00E65D1E"/>
          <w:p w:rsidR="00C17201" w:rsidRDefault="00C17201" w:rsidP="00E65D1E">
            <w:r>
              <w:t>All Teachers</w:t>
            </w:r>
          </w:p>
          <w:p w:rsidR="00C17201" w:rsidRDefault="00C17201" w:rsidP="00E65D1E"/>
          <w:p w:rsidR="00C17201" w:rsidRDefault="00C17201" w:rsidP="00E65D1E"/>
          <w:p w:rsidR="00C17201" w:rsidRDefault="00C17201" w:rsidP="00E65D1E"/>
          <w:p w:rsidR="00C17201" w:rsidRDefault="00C17201" w:rsidP="00E65D1E">
            <w:r>
              <w:t>All Teachers</w:t>
            </w:r>
          </w:p>
          <w:p w:rsidR="00C17201" w:rsidRDefault="00C17201" w:rsidP="00E65D1E"/>
          <w:p w:rsidR="00C17201" w:rsidRDefault="00C17201" w:rsidP="00E65D1E"/>
          <w:p w:rsidR="00C17201" w:rsidRDefault="00C17201" w:rsidP="00E65D1E">
            <w:r>
              <w:t>All Teachers</w:t>
            </w:r>
          </w:p>
          <w:p w:rsidR="00C17201" w:rsidRDefault="00C17201" w:rsidP="00E65D1E"/>
          <w:p w:rsidR="00C17201" w:rsidRDefault="00C17201" w:rsidP="00E65D1E">
            <w:r>
              <w:t>All Teachers</w:t>
            </w:r>
          </w:p>
          <w:p w:rsidR="00C17201" w:rsidRDefault="00C17201" w:rsidP="00E65D1E"/>
          <w:p w:rsidR="00C17201" w:rsidRDefault="00C17201" w:rsidP="00E65D1E"/>
          <w:p w:rsidR="00C17201" w:rsidRDefault="00C17201" w:rsidP="00E65D1E"/>
          <w:p w:rsidR="00C17201" w:rsidRDefault="00C17201" w:rsidP="00E65D1E"/>
          <w:p w:rsidR="00C17201" w:rsidRDefault="00C17201" w:rsidP="00E65D1E"/>
          <w:p w:rsidR="00C17201" w:rsidRDefault="00C17201" w:rsidP="00E65D1E">
            <w:r>
              <w:t>Link Teacher/English Department</w:t>
            </w:r>
          </w:p>
          <w:p w:rsidR="00C17201" w:rsidRDefault="00C17201" w:rsidP="00E65D1E"/>
          <w:p w:rsidR="00C17201" w:rsidRDefault="00C17201" w:rsidP="00E65D1E">
            <w:r>
              <w:t>All Teachers</w:t>
            </w:r>
          </w:p>
        </w:tc>
        <w:tc>
          <w:tcPr>
            <w:tcW w:w="2693" w:type="dxa"/>
          </w:tcPr>
          <w:p w:rsidR="00D90BF9" w:rsidRDefault="00D90BF9" w:rsidP="00E65D1E"/>
          <w:p w:rsidR="00C17201" w:rsidRDefault="00C17201" w:rsidP="00E65D1E"/>
          <w:p w:rsidR="00C17201" w:rsidRDefault="00C17201" w:rsidP="00E65D1E">
            <w:r>
              <w:t>Teacher Observation &amp; Discussion on individual students (possible due to the size of our school)</w:t>
            </w:r>
          </w:p>
          <w:p w:rsidR="00C17201" w:rsidRDefault="00C17201" w:rsidP="00E65D1E"/>
          <w:p w:rsidR="00C17201" w:rsidRDefault="00C17201" w:rsidP="00E65D1E">
            <w:r>
              <w:t xml:space="preserve">Literacy checklist to assess </w:t>
            </w:r>
            <w:r w:rsidR="00E3108F">
              <w:t>written work under specific headings</w:t>
            </w:r>
          </w:p>
          <w:p w:rsidR="00E3108F" w:rsidRDefault="00E3108F" w:rsidP="00E65D1E"/>
          <w:p w:rsidR="00E3108F" w:rsidRDefault="00E3108F" w:rsidP="00E65D1E">
            <w:r>
              <w:t>Teacher survey and student survey to analyse if ‘Required Actions’ are being achieved</w:t>
            </w:r>
          </w:p>
        </w:tc>
        <w:tc>
          <w:tcPr>
            <w:tcW w:w="2017" w:type="dxa"/>
          </w:tcPr>
          <w:p w:rsidR="00D90BF9" w:rsidRDefault="00D90BF9" w:rsidP="00E65D1E"/>
          <w:p w:rsidR="00E3108F" w:rsidRDefault="00E3108F" w:rsidP="00E65D1E"/>
          <w:p w:rsidR="00E3108F" w:rsidRDefault="00E3108F" w:rsidP="00E65D1E">
            <w:r>
              <w:t>Implement all  from September 2013</w:t>
            </w:r>
          </w:p>
          <w:p w:rsidR="00E3108F" w:rsidRDefault="00E3108F" w:rsidP="00E65D1E"/>
          <w:p w:rsidR="00E3108F" w:rsidRDefault="00E3108F" w:rsidP="00E65D1E"/>
          <w:p w:rsidR="00E3108F" w:rsidRDefault="00E3108F" w:rsidP="00E65D1E"/>
          <w:p w:rsidR="00E3108F" w:rsidRDefault="00E3108F" w:rsidP="00E65D1E"/>
          <w:p w:rsidR="00E3108F" w:rsidRDefault="00E3108F" w:rsidP="00E65D1E"/>
          <w:p w:rsidR="00E3108F" w:rsidRDefault="00E3108F" w:rsidP="00E65D1E"/>
          <w:p w:rsidR="00E3108F" w:rsidRDefault="00E3108F" w:rsidP="00E65D1E"/>
          <w:p w:rsidR="00E3108F" w:rsidRDefault="00E3108F" w:rsidP="00E65D1E"/>
          <w:p w:rsidR="00E3108F" w:rsidRDefault="00E3108F" w:rsidP="00E65D1E"/>
          <w:p w:rsidR="00E3108F" w:rsidRDefault="00E3108F" w:rsidP="00E65D1E"/>
          <w:p w:rsidR="00E3108F" w:rsidRDefault="00E3108F" w:rsidP="00E65D1E"/>
          <w:p w:rsidR="00E3108F" w:rsidRDefault="00E3108F" w:rsidP="00E65D1E"/>
          <w:p w:rsidR="00E3108F" w:rsidRDefault="00E3108F" w:rsidP="00E65D1E"/>
          <w:p w:rsidR="00E3108F" w:rsidRDefault="00E3108F" w:rsidP="00E65D1E"/>
          <w:p w:rsidR="00E3108F" w:rsidRDefault="00E3108F" w:rsidP="00E65D1E"/>
          <w:p w:rsidR="00E3108F" w:rsidRDefault="00E3108F" w:rsidP="00E65D1E"/>
          <w:p w:rsidR="00E3108F" w:rsidRDefault="00E3108F" w:rsidP="00E65D1E"/>
        </w:tc>
      </w:tr>
    </w:tbl>
    <w:p w:rsidR="001C1DD4" w:rsidRDefault="001C1DD4" w:rsidP="00E65D1E">
      <w:bookmarkStart w:id="0" w:name="_GoBack"/>
      <w:bookmarkEnd w:id="0"/>
    </w:p>
    <w:sectPr w:rsidR="001C1DD4" w:rsidSect="002E4C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455"/>
    <w:multiLevelType w:val="hybridMultilevel"/>
    <w:tmpl w:val="02D890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48536EF"/>
    <w:multiLevelType w:val="hybridMultilevel"/>
    <w:tmpl w:val="3A1CB2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BAE466C"/>
    <w:multiLevelType w:val="hybridMultilevel"/>
    <w:tmpl w:val="D820F4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2EB73DE"/>
    <w:multiLevelType w:val="hybridMultilevel"/>
    <w:tmpl w:val="AD0420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3B653CD"/>
    <w:multiLevelType w:val="hybridMultilevel"/>
    <w:tmpl w:val="6B96C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82"/>
    <w:rsid w:val="00123E0A"/>
    <w:rsid w:val="001C1DD4"/>
    <w:rsid w:val="002756E8"/>
    <w:rsid w:val="00292850"/>
    <w:rsid w:val="002E4C82"/>
    <w:rsid w:val="003B6544"/>
    <w:rsid w:val="00410734"/>
    <w:rsid w:val="004342F6"/>
    <w:rsid w:val="00594776"/>
    <w:rsid w:val="00597543"/>
    <w:rsid w:val="008072B9"/>
    <w:rsid w:val="00842F91"/>
    <w:rsid w:val="009E58A2"/>
    <w:rsid w:val="00C17201"/>
    <w:rsid w:val="00CC5E27"/>
    <w:rsid w:val="00D90BF9"/>
    <w:rsid w:val="00DE0559"/>
    <w:rsid w:val="00E3108F"/>
    <w:rsid w:val="00E65D1E"/>
    <w:rsid w:val="00F66006"/>
    <w:rsid w:val="00FE3F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1DD4"/>
    <w:pPr>
      <w:ind w:left="720"/>
      <w:contextualSpacing/>
    </w:pPr>
  </w:style>
  <w:style w:type="paragraph" w:styleId="BalloonText">
    <w:name w:val="Balloon Text"/>
    <w:basedOn w:val="Normal"/>
    <w:link w:val="BalloonTextChar"/>
    <w:uiPriority w:val="99"/>
    <w:semiHidden/>
    <w:unhideWhenUsed/>
    <w:rsid w:val="009E5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1DD4"/>
    <w:pPr>
      <w:ind w:left="720"/>
      <w:contextualSpacing/>
    </w:pPr>
  </w:style>
  <w:style w:type="paragraph" w:styleId="BalloonText">
    <w:name w:val="Balloon Text"/>
    <w:basedOn w:val="Normal"/>
    <w:link w:val="BalloonTextChar"/>
    <w:uiPriority w:val="99"/>
    <w:semiHidden/>
    <w:unhideWhenUsed/>
    <w:rsid w:val="009E5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aodan</dc:creator>
  <cp:keywords/>
  <dc:description/>
  <cp:lastModifiedBy>aodan</cp:lastModifiedBy>
  <cp:revision>8</cp:revision>
  <cp:lastPrinted>2013-04-25T09:24:00Z</cp:lastPrinted>
  <dcterms:created xsi:type="dcterms:W3CDTF">2013-04-26T14:18:00Z</dcterms:created>
  <dcterms:modified xsi:type="dcterms:W3CDTF">2013-11-26T10:11:00Z</dcterms:modified>
</cp:coreProperties>
</file>